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5F" w:rsidRDefault="00500C57">
      <w:pPr>
        <w:pStyle w:val="10"/>
        <w:keepNext/>
        <w:keepLines/>
        <w:shd w:val="clear" w:color="auto" w:fill="auto"/>
        <w:tabs>
          <w:tab w:val="left" w:leader="underscore" w:pos="3907"/>
          <w:tab w:val="left" w:leader="underscore" w:pos="7675"/>
        </w:tabs>
        <w:ind w:left="1800" w:right="1800"/>
      </w:pPr>
      <w:bookmarkStart w:id="0" w:name="bookmark0"/>
      <w:r>
        <w:t xml:space="preserve">Методический анализ результатов ОГЭ по учебному предмету </w:t>
      </w:r>
      <w:r>
        <w:rPr>
          <w:rStyle w:val="114pt"/>
          <w:b/>
          <w:bCs/>
        </w:rPr>
        <w:tab/>
        <w:t>Биология</w:t>
      </w:r>
      <w:r>
        <w:rPr>
          <w:rStyle w:val="114pt"/>
          <w:b/>
          <w:bCs/>
        </w:rPr>
        <w:tab/>
      </w:r>
      <w:bookmarkEnd w:id="0"/>
    </w:p>
    <w:p w:rsidR="00C9565F" w:rsidRDefault="00500C57">
      <w:pPr>
        <w:pStyle w:val="30"/>
        <w:shd w:val="clear" w:color="auto" w:fill="auto"/>
        <w:spacing w:after="232" w:line="220" w:lineRule="exact"/>
      </w:pPr>
      <w:r>
        <w:t>(наименование учебного предмета)</w:t>
      </w:r>
    </w:p>
    <w:p w:rsidR="00C9565F" w:rsidRDefault="00500C57">
      <w:pPr>
        <w:pStyle w:val="40"/>
        <w:shd w:val="clear" w:color="auto" w:fill="auto"/>
        <w:spacing w:before="0" w:after="196" w:line="240" w:lineRule="exact"/>
        <w:ind w:firstLine="0"/>
      </w:pPr>
      <w:r>
        <w:t>Далее приведена типовая структура отчета по учебному предмету</w:t>
      </w:r>
    </w:p>
    <w:p w:rsidR="00C9565F" w:rsidRDefault="00500C57">
      <w:pPr>
        <w:pStyle w:val="20"/>
        <w:keepNext/>
        <w:keepLines/>
        <w:shd w:val="clear" w:color="auto" w:fill="auto"/>
        <w:spacing w:before="0" w:after="279" w:line="322" w:lineRule="exact"/>
      </w:pPr>
      <w:bookmarkStart w:id="1" w:name="bookmark2"/>
      <w:bookmarkStart w:id="2" w:name="_GoBack"/>
      <w:bookmarkEnd w:id="2"/>
      <w:r>
        <w:t xml:space="preserve">2.4. Рекомендации для системы </w:t>
      </w:r>
      <w:r>
        <w:t>образования по совершенствованию методики преподавания учебного предмета</w:t>
      </w:r>
      <w:bookmarkEnd w:id="1"/>
    </w:p>
    <w:p w:rsidR="00C9565F" w:rsidRDefault="00500C57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>Рекомендации для системы образования субъекта Российской Федерации (далее - рекомендации) составляются на основе проведенного (п. 2.3) анализа выполнения заданий КИМ и выявленных типи</w:t>
      </w:r>
      <w:r>
        <w:t>чных затруднений и ошибок.</w:t>
      </w:r>
    </w:p>
    <w:p w:rsidR="00C9565F" w:rsidRDefault="00500C57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 xml:space="preserve">Рекомендации должны </w:t>
      </w:r>
      <w:r>
        <w:rPr>
          <w:rStyle w:val="41"/>
          <w:i/>
          <w:iCs/>
        </w:rPr>
        <w:t xml:space="preserve">носить практический характер и давать возможность их использования </w:t>
      </w:r>
      <w:r>
        <w:t>в работе образовательных организаций, учителей в целях совершенствования образовательного процесса. Следует избегать формальных и нереализуемы</w:t>
      </w:r>
      <w:r>
        <w:t>х рекомендаций.</w:t>
      </w:r>
    </w:p>
    <w:p w:rsidR="00C9565F" w:rsidRDefault="00500C57">
      <w:pPr>
        <w:pStyle w:val="70"/>
        <w:shd w:val="clear" w:color="auto" w:fill="auto"/>
        <w:ind w:firstLine="600"/>
      </w:pPr>
      <w:r>
        <w:t>Основные требования:</w:t>
      </w:r>
    </w:p>
    <w:p w:rsidR="00C9565F" w:rsidRDefault="00500C57">
      <w:pPr>
        <w:pStyle w:val="70"/>
        <w:numPr>
          <w:ilvl w:val="0"/>
          <w:numId w:val="1"/>
        </w:numPr>
        <w:shd w:val="clear" w:color="auto" w:fill="auto"/>
        <w:tabs>
          <w:tab w:val="left" w:pos="1286"/>
        </w:tabs>
        <w:ind w:left="1320"/>
      </w:pPr>
      <w:r>
        <w:t>рекомендации должны содержать описание конкретных методик / технологий / приемов обучения</w:t>
      </w:r>
      <w:r>
        <w:rPr>
          <w:rStyle w:val="71"/>
          <w:i/>
          <w:iCs/>
        </w:rPr>
        <w:t>, организации различных этапов образовательного процесса;</w:t>
      </w:r>
    </w:p>
    <w:p w:rsidR="00C9565F" w:rsidRDefault="00500C57">
      <w:pPr>
        <w:pStyle w:val="4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0" w:line="274" w:lineRule="exact"/>
        <w:ind w:left="1320"/>
        <w:jc w:val="both"/>
      </w:pPr>
      <w:r>
        <w:t>рекомендации должны быть направлены на ликвидацию / предотвращение выявл</w:t>
      </w:r>
      <w:r>
        <w:t>енных дефицитов в подготовке обучающихся;</w:t>
      </w:r>
    </w:p>
    <w:p w:rsidR="00C9565F" w:rsidRDefault="00500C57">
      <w:pPr>
        <w:pStyle w:val="40"/>
        <w:numPr>
          <w:ilvl w:val="0"/>
          <w:numId w:val="1"/>
        </w:numPr>
        <w:shd w:val="clear" w:color="auto" w:fill="auto"/>
        <w:tabs>
          <w:tab w:val="left" w:pos="1286"/>
        </w:tabs>
        <w:spacing w:before="0" w:after="240" w:line="278" w:lineRule="exact"/>
        <w:ind w:left="1320"/>
        <w:jc w:val="both"/>
      </w:pPr>
      <w:r>
        <w:t>рекомендации должны касаться как предметных, так и метапредметных аспектов подготовки обучающихся.</w:t>
      </w:r>
    </w:p>
    <w:p w:rsidR="00C9565F" w:rsidRDefault="00500C57">
      <w:pPr>
        <w:pStyle w:val="80"/>
        <w:shd w:val="clear" w:color="auto" w:fill="auto"/>
        <w:spacing w:before="0" w:after="271"/>
      </w:pPr>
      <w:r>
        <w:t>2.4.1. Рекомендации по совершенствованию преподавания учебного предмета для всех обучающихся</w:t>
      </w:r>
    </w:p>
    <w:p w:rsidR="00C9565F" w:rsidRDefault="00500C57">
      <w:pPr>
        <w:pStyle w:val="40"/>
        <w:shd w:val="clear" w:color="auto" w:fill="auto"/>
        <w:spacing w:before="0" w:after="0" w:line="240" w:lineRule="exact"/>
        <w:ind w:firstLine="0"/>
        <w:jc w:val="both"/>
      </w:pPr>
      <w:r>
        <w:rPr>
          <w:rStyle w:val="4115pt"/>
        </w:rPr>
        <w:t xml:space="preserve">о </w:t>
      </w:r>
      <w:r>
        <w:t xml:space="preserve">Учителям, </w:t>
      </w:r>
      <w:r>
        <w:t>методическим объединениям учителей.</w:t>
      </w:r>
    </w:p>
    <w:p w:rsidR="00C9565F" w:rsidRDefault="00500C57">
      <w:pPr>
        <w:pStyle w:val="22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0"/>
        <w:ind w:firstLine="740"/>
      </w:pPr>
      <w:r>
        <w:t>систематически включать в закрепление и обобщение предметного материала различные формы познавательных заданий, ориентированных на разнообразные умения и способы деятельности;</w:t>
      </w:r>
    </w:p>
    <w:p w:rsidR="00C9565F" w:rsidRDefault="00500C57">
      <w:pPr>
        <w:pStyle w:val="22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0"/>
        <w:ind w:firstLine="740"/>
      </w:pPr>
      <w:r>
        <w:t xml:space="preserve">минимизировать использование познавательных </w:t>
      </w:r>
      <w:r>
        <w:t>заданий простой формы (репродуктивного типа) - вопросов, предполагающих переход от незнания или частично завершенного знания - к завершенному знанию;</w:t>
      </w:r>
    </w:p>
    <w:p w:rsidR="00C9565F" w:rsidRDefault="00500C57">
      <w:pPr>
        <w:pStyle w:val="22"/>
        <w:shd w:val="clear" w:color="auto" w:fill="auto"/>
        <w:spacing w:before="0" w:after="0"/>
        <w:ind w:firstLine="740"/>
      </w:pPr>
      <w:r>
        <w:t>-обратить внимание на работу с информацией, представленную в различных видах, а также на перевод информаци</w:t>
      </w:r>
      <w:r>
        <w:t>и из одного вида в другой, особенно в части работы с рисунками и развитием навыка смыслового чтения;</w:t>
      </w:r>
    </w:p>
    <w:p w:rsidR="00C9565F" w:rsidRDefault="00500C57">
      <w:pPr>
        <w:pStyle w:val="22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0"/>
        <w:ind w:firstLine="740"/>
      </w:pPr>
      <w:r>
        <w:t>разработать алгоритм методики обучения решению каждого задания, включая работу с критериями оценивания;</w:t>
      </w:r>
    </w:p>
    <w:p w:rsidR="00C9565F" w:rsidRDefault="00500C57">
      <w:pPr>
        <w:pStyle w:val="22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0"/>
        <w:ind w:firstLine="740"/>
      </w:pPr>
      <w:r>
        <w:t>по возможности увеличить работу с наглядно-иллюстра</w:t>
      </w:r>
      <w:r>
        <w:t>тивными средствами обучения (фотографии, муляжи, гербарии и пр.), а также реализовывать различные формы биологического эксперимента в сочетании с наглядно-практическими средствами обучения биологии;</w:t>
      </w:r>
    </w:p>
    <w:p w:rsidR="00C9565F" w:rsidRDefault="00500C57">
      <w:pPr>
        <w:pStyle w:val="22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0"/>
        <w:ind w:firstLine="740"/>
      </w:pPr>
      <w:r>
        <w:t>закреплять и отрабатывать содержание предмета в системе к</w:t>
      </w:r>
      <w:r>
        <w:t>онтекстных познавательных заданий, направленных на создание условий для общеучебной деятельности (практико-ориентированные, межпредметные, с экологическим содержанием и др.).</w:t>
      </w:r>
    </w:p>
    <w:p w:rsidR="00C9565F" w:rsidRDefault="00500C57">
      <w:pPr>
        <w:pStyle w:val="22"/>
        <w:shd w:val="clear" w:color="auto" w:fill="auto"/>
        <w:spacing w:before="0" w:after="360"/>
        <w:ind w:firstLine="740"/>
      </w:pPr>
      <w:r>
        <w:t>Учителю важно знать, что предметное содержание должно выступать средством достиже</w:t>
      </w:r>
      <w:r>
        <w:t>ния общеучебных (метапредметных по ФГОС) результатов. При этом предметные знания должны отличаться полнотой и глубиной усвоения, особенно в процессе работы с понятийно-терминологическим аппаратом биологии и фактологическим материалом.</w:t>
      </w:r>
    </w:p>
    <w:p w:rsidR="00C9565F" w:rsidRDefault="00500C57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lastRenderedPageBreak/>
        <w:t xml:space="preserve">о </w:t>
      </w:r>
      <w:r>
        <w:t>Муниципальным орган</w:t>
      </w:r>
      <w:r>
        <w:t>ам управления образованием.</w:t>
      </w:r>
    </w:p>
    <w:p w:rsidR="00C9565F" w:rsidRDefault="00500C57">
      <w:pPr>
        <w:pStyle w:val="22"/>
        <w:shd w:val="clear" w:color="auto" w:fill="auto"/>
        <w:spacing w:before="0" w:after="267"/>
        <w:ind w:firstLine="740"/>
      </w:pPr>
      <w:r>
        <w:t>Совместно с администрацией школы организовать мониторинг промежуточных образовательных результатов (диагностические работы) обучающихся для предупреждения неудовлетворительных результатов на ГИА. Особое внимание следует обратить</w:t>
      </w:r>
      <w:r>
        <w:t xml:space="preserve"> на образовательные организации, обучающиеся которых при сдаче ОГЭ продемонстрировали низкие результаты.</w:t>
      </w:r>
    </w:p>
    <w:p w:rsidR="00C9565F" w:rsidRDefault="00500C57">
      <w:pPr>
        <w:pStyle w:val="40"/>
        <w:shd w:val="clear" w:color="auto" w:fill="auto"/>
        <w:spacing w:before="0" w:after="0" w:line="240" w:lineRule="exact"/>
        <w:ind w:firstLine="0"/>
        <w:jc w:val="both"/>
      </w:pPr>
      <w:r>
        <w:rPr>
          <w:rStyle w:val="4115pt"/>
        </w:rPr>
        <w:t xml:space="preserve">о </w:t>
      </w:r>
      <w:r>
        <w:t>Прочие рекомендации.</w:t>
      </w:r>
    </w:p>
    <w:p w:rsidR="00C9565F" w:rsidRDefault="00500C57">
      <w:pPr>
        <w:pStyle w:val="22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/>
        <w:ind w:firstLine="740"/>
      </w:pPr>
      <w:r>
        <w:t>расширить спектр фронтального эксперимента с предпочтением лабораторных работ исследовательского характера;</w:t>
      </w:r>
    </w:p>
    <w:p w:rsidR="00C9565F" w:rsidRDefault="00500C57">
      <w:pPr>
        <w:pStyle w:val="22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0"/>
        <w:ind w:firstLine="740"/>
      </w:pPr>
      <w:r>
        <w:t xml:space="preserve">сформировать умения </w:t>
      </w:r>
      <w:r>
        <w:t>проводить измерения и опыты, интерпретировать их результаты и делать соответствующие выводы (возможно только в ходе эксперимента на реальном оборудовании). При этом в процессе обучения биологии, важно проводить обсуждение полученных результатов на всех эта</w:t>
      </w:r>
      <w:r>
        <w:t>пах проведения школьного натурного биологического эксперимента;</w:t>
      </w:r>
    </w:p>
    <w:p w:rsidR="00C9565F" w:rsidRDefault="00500C57">
      <w:pPr>
        <w:pStyle w:val="22"/>
        <w:numPr>
          <w:ilvl w:val="0"/>
          <w:numId w:val="1"/>
        </w:numPr>
        <w:shd w:val="clear" w:color="auto" w:fill="auto"/>
        <w:tabs>
          <w:tab w:val="left" w:pos="1421"/>
        </w:tabs>
        <w:spacing w:before="0" w:after="240"/>
        <w:ind w:firstLine="740"/>
      </w:pPr>
      <w:r>
        <w:t xml:space="preserve">научить ясно выражать свои мысли. Устное прочтение задачи, перечисление опорных фактов, выделение ключевых слов, выявление «главного» явления, формулирование гипотез, догадок, умозаключений с </w:t>
      </w:r>
      <w:r>
        <w:t>обоснованием - все это должно быть отражено в устной речи, прежде чем быть сформулированным в письменной форме. В связи с тем, что обучающиеся «не любят писать», целесообразно фиксировать в письменной форме только то, что нужно и важно записать в данном ко</w:t>
      </w:r>
      <w:r>
        <w:t>нкретном случае: лаконично, точно и четко. Поэтому подготовка к государственной итоговой аттестации в качестве обязательного элемента должна включать в себя работу по формированию навыков письменной и устной речи обучающихся.</w:t>
      </w:r>
    </w:p>
    <w:p w:rsidR="00C9565F" w:rsidRDefault="00500C57">
      <w:pPr>
        <w:pStyle w:val="80"/>
        <w:shd w:val="clear" w:color="auto" w:fill="auto"/>
        <w:spacing w:before="0" w:after="0" w:line="274" w:lineRule="exact"/>
      </w:pPr>
      <w:r>
        <w:t>2.4.2. Рекомендации по организ</w:t>
      </w:r>
      <w:r>
        <w:t>ации дифференцированного обучения школьников с разным уровнем предметной подготовки</w:t>
      </w:r>
    </w:p>
    <w:p w:rsidR="00C9565F" w:rsidRDefault="00500C57">
      <w:pPr>
        <w:pStyle w:val="40"/>
        <w:shd w:val="clear" w:color="auto" w:fill="auto"/>
        <w:spacing w:before="0" w:after="0" w:line="274" w:lineRule="exact"/>
        <w:ind w:firstLine="0"/>
        <w:jc w:val="left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C9565F" w:rsidRDefault="00500C57">
      <w:pPr>
        <w:pStyle w:val="22"/>
        <w:shd w:val="clear" w:color="auto" w:fill="auto"/>
        <w:spacing w:before="0" w:after="0"/>
        <w:ind w:firstLine="740"/>
      </w:pPr>
      <w:r>
        <w:t xml:space="preserve">Проводить целенаправленную работу с выпускниками 9-х классов по вопросам профориентации с последующим выбором профиля </w:t>
      </w:r>
      <w:r>
        <w:t>обучения в 10-11 классах во избежание сдачи ЕГЭ по биологии при базовом уровне её изучения. Совершенствовать вариативную часть учебных планов образовательной организации, в части организации по подготовке к ГИА в таких формах, как курсы по выбору, элективн</w:t>
      </w:r>
      <w:r>
        <w:t>ые курсы. Для работы обучающихся с базовым уровнем подготовки целесообразно использовать задания «базового» уровня сложности, которые ориентированы на проверку усвоения только одного или двух элементов содержания. Следует помнить, что выполнение этих задан</w:t>
      </w:r>
      <w:r>
        <w:t>ий, предполагает и тщательный анализ сути изучаемого биологического явления. Кроме того, задания «базового» уровня сложности, позволяют формировать, как алгоритмическое, так и критическое мышление.</w:t>
      </w:r>
    </w:p>
    <w:p w:rsidR="00C9565F" w:rsidRDefault="00500C57">
      <w:pPr>
        <w:pStyle w:val="22"/>
        <w:shd w:val="clear" w:color="auto" w:fill="auto"/>
        <w:spacing w:before="0" w:after="0"/>
        <w:ind w:firstLine="740"/>
      </w:pPr>
      <w:r>
        <w:t>Работа с обучающимися, демонстрирующими повышенный уровень</w:t>
      </w:r>
      <w:r>
        <w:t xml:space="preserve"> подготовки в области биологии должна быть направлена на выполнение разнообразных действий по применению знаний в неалгоритмической ситуации, а также развитию у них умение обобщать, выделять главное, предлагать нешаблонные решения, применять теоретические </w:t>
      </w:r>
      <w:r>
        <w:t>знания для решения практических задач. В рамках организации дифференцированного обучения школьников, значительную роль играет консультирование их родителей.</w:t>
      </w:r>
    </w:p>
    <w:p w:rsidR="00C9565F" w:rsidRDefault="00500C57">
      <w:pPr>
        <w:pStyle w:val="22"/>
        <w:shd w:val="clear" w:color="auto" w:fill="auto"/>
        <w:spacing w:before="0" w:after="0"/>
        <w:ind w:firstLine="740"/>
      </w:pPr>
      <w:r>
        <w:t>Дифференцированный подход к обучению учеников с различным уровнем подготовки необходимо использоват</w:t>
      </w:r>
      <w:r>
        <w:t>ь не только на уроке, но и при подборе домашних заданий и контрольно-измерительных материалов. При изучении биологии необходимо научить школьников работать с разнообразными источниками научных и научно</w:t>
      </w:r>
      <w:r>
        <w:softHyphen/>
        <w:t>популярных знаний, анализировать и интерпретировать ин</w:t>
      </w:r>
      <w:r>
        <w:t>формацию.</w:t>
      </w:r>
    </w:p>
    <w:p w:rsidR="00C9565F" w:rsidRDefault="00500C57">
      <w:pPr>
        <w:pStyle w:val="22"/>
        <w:shd w:val="clear" w:color="auto" w:fill="auto"/>
        <w:spacing w:before="0" w:after="0"/>
        <w:ind w:firstLine="740"/>
      </w:pPr>
      <w:r>
        <w:t>Сравнительный содержательный анализ результатов 2023 г. позволил выявить слабые стороны выпускников в выполнении заданий тестовой части и заданий с развернутым ответом КИМ ОГЭ по биологии.</w:t>
      </w:r>
    </w:p>
    <w:p w:rsidR="00C9565F" w:rsidRDefault="00500C57">
      <w:pPr>
        <w:pStyle w:val="22"/>
        <w:shd w:val="clear" w:color="auto" w:fill="auto"/>
        <w:spacing w:before="0" w:after="0"/>
        <w:ind w:firstLine="740"/>
      </w:pPr>
      <w:r>
        <w:lastRenderedPageBreak/>
        <w:t>Анализ статистических данных и диаграмм позволяет сделать</w:t>
      </w:r>
      <w:r>
        <w:t xml:space="preserve"> вывод о том, что наименьший процент выполнения имеют задания линий:</w:t>
      </w:r>
    </w:p>
    <w:p w:rsidR="00C9565F" w:rsidRDefault="00500C57">
      <w:pPr>
        <w:pStyle w:val="40"/>
        <w:shd w:val="clear" w:color="auto" w:fill="auto"/>
        <w:spacing w:before="0" w:after="0" w:line="274" w:lineRule="exact"/>
        <w:ind w:firstLine="740"/>
        <w:jc w:val="both"/>
      </w:pPr>
      <w:r>
        <w:t>Базовый уровень</w:t>
      </w:r>
    </w:p>
    <w:p w:rsidR="00C9565F" w:rsidRDefault="00500C57">
      <w:pPr>
        <w:pStyle w:val="22"/>
        <w:shd w:val="clear" w:color="auto" w:fill="auto"/>
        <w:spacing w:before="0" w:after="0"/>
        <w:ind w:firstLine="740"/>
      </w:pPr>
      <w:r>
        <w:t>5 - умение определять последовательность биологических процессов, явлений, объектов (37,1% выполнения);</w:t>
      </w:r>
    </w:p>
    <w:p w:rsidR="00C9565F" w:rsidRDefault="00500C57">
      <w:pPr>
        <w:pStyle w:val="22"/>
        <w:numPr>
          <w:ilvl w:val="0"/>
          <w:numId w:val="2"/>
        </w:numPr>
        <w:shd w:val="clear" w:color="auto" w:fill="auto"/>
        <w:tabs>
          <w:tab w:val="left" w:pos="983"/>
        </w:tabs>
        <w:spacing w:before="0" w:after="0"/>
        <w:ind w:firstLine="740"/>
      </w:pPr>
      <w:r>
        <w:t xml:space="preserve">- умение использовать понятийный аппарат и символический язык </w:t>
      </w:r>
      <w:r>
        <w:t>биологии; грамотно применять научные термины, понятия, теории, законы для объяснения наблюдаемых биологических объектов, явлений и процессов (39,7% выполнения);</w:t>
      </w:r>
    </w:p>
    <w:p w:rsidR="00C9565F" w:rsidRDefault="00500C57">
      <w:pPr>
        <w:pStyle w:val="22"/>
        <w:shd w:val="clear" w:color="auto" w:fill="auto"/>
        <w:spacing w:before="0" w:after="0"/>
        <w:ind w:firstLine="740"/>
      </w:pPr>
      <w:r>
        <w:t>12 -владение приемами работы по критическому анализу полученной информации и пользоваться прост</w:t>
      </w:r>
      <w:r>
        <w:t>ейшими способами оценки ее достоверности (49,6% выполнения);</w:t>
      </w:r>
    </w:p>
    <w:p w:rsidR="00C9565F" w:rsidRDefault="00500C57">
      <w:pPr>
        <w:pStyle w:val="22"/>
        <w:shd w:val="clear" w:color="auto" w:fill="auto"/>
        <w:spacing w:before="0" w:after="0"/>
        <w:ind w:firstLine="740"/>
      </w:pPr>
      <w:r>
        <w:t>15 - Раскрывать особенности организма человека, его строения, жизнедеятельности, высшей нервной деятельности и поведения (44,0% выполнения).</w:t>
      </w:r>
    </w:p>
    <w:p w:rsidR="00C9565F" w:rsidRDefault="00500C57">
      <w:pPr>
        <w:pStyle w:val="40"/>
        <w:shd w:val="clear" w:color="auto" w:fill="auto"/>
        <w:spacing w:before="0" w:after="0" w:line="274" w:lineRule="exact"/>
        <w:ind w:firstLine="740"/>
        <w:jc w:val="both"/>
      </w:pPr>
      <w:r>
        <w:t>Повышенный уровень</w:t>
      </w:r>
    </w:p>
    <w:p w:rsidR="00C9565F" w:rsidRDefault="00500C57">
      <w:pPr>
        <w:pStyle w:val="22"/>
        <w:numPr>
          <w:ilvl w:val="0"/>
          <w:numId w:val="2"/>
        </w:numPr>
        <w:shd w:val="clear" w:color="auto" w:fill="auto"/>
        <w:tabs>
          <w:tab w:val="left" w:pos="983"/>
        </w:tabs>
        <w:spacing w:before="0" w:after="0"/>
        <w:ind w:firstLine="740"/>
      </w:pPr>
      <w:r>
        <w:t>- умение проводить множественный вы</w:t>
      </w:r>
      <w:r>
        <w:t>бор (36,9% выполнения);</w:t>
      </w:r>
    </w:p>
    <w:p w:rsidR="00C9565F" w:rsidRDefault="00500C57">
      <w:pPr>
        <w:pStyle w:val="22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/>
        <w:ind w:firstLine="740"/>
      </w:pPr>
      <w:r>
        <w:t>- умение включать в биологический текст пропущенные термины и понятия из числа предложенных (34,7% выполнения).</w:t>
      </w:r>
    </w:p>
    <w:p w:rsidR="00C9565F" w:rsidRDefault="00500C57">
      <w:pPr>
        <w:pStyle w:val="22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/>
        <w:ind w:firstLine="740"/>
      </w:pPr>
      <w:r>
        <w:t>- знать признаки биологических объектов на разных уровнях организации живого. Умение устанавливать соответствие умение в</w:t>
      </w:r>
      <w:r>
        <w:t>ключать в биологический текст пропущенные термины и понятия из числа предложенных (27,0% выполнения).</w:t>
      </w:r>
    </w:p>
    <w:p w:rsidR="00C9565F" w:rsidRDefault="00500C57">
      <w:pPr>
        <w:pStyle w:val="40"/>
        <w:shd w:val="clear" w:color="auto" w:fill="auto"/>
        <w:spacing w:before="0" w:after="0" w:line="274" w:lineRule="exact"/>
        <w:ind w:firstLine="740"/>
        <w:jc w:val="both"/>
      </w:pPr>
      <w:r>
        <w:t>Высокий уровень</w:t>
      </w:r>
    </w:p>
    <w:p w:rsidR="00C9565F" w:rsidRDefault="00500C57">
      <w:pPr>
        <w:pStyle w:val="22"/>
        <w:shd w:val="clear" w:color="auto" w:fill="auto"/>
        <w:spacing w:before="0" w:after="0"/>
        <w:ind w:firstLine="740"/>
      </w:pPr>
      <w:r>
        <w:t>22 - объяснение роли биологии в формировании современной естественнонаучной картины мира, в практической деятельности людей. Распознавание</w:t>
      </w:r>
      <w:r>
        <w:t xml:space="preserve"> и описание на рисунках признаков строения биологических объектов на разных уровнях организации (30,6%выполнения);</w:t>
      </w:r>
    </w:p>
    <w:p w:rsidR="00C9565F" w:rsidRDefault="00500C57">
      <w:pPr>
        <w:pStyle w:val="22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/>
        <w:ind w:firstLine="740"/>
      </w:pPr>
      <w:r>
        <w:t>- умение работать со статистическими данными, представленными в табличной форме (32,8% выполнения);</w:t>
      </w:r>
    </w:p>
    <w:p w:rsidR="00C9565F" w:rsidRDefault="00500C57">
      <w:pPr>
        <w:pStyle w:val="22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/>
        <w:ind w:firstLine="740"/>
      </w:pPr>
      <w:r>
        <w:t>- решение учебных задач биологического со</w:t>
      </w:r>
      <w:r>
        <w:t>держания: проводить качественные и количественные расчёты, делать выводы на основании полученных результатов. Умение обосновывать необходимость рационального и здорового питания (37,5% выполнения).</w:t>
      </w:r>
    </w:p>
    <w:p w:rsidR="00C9565F" w:rsidRDefault="00500C57">
      <w:pPr>
        <w:pStyle w:val="22"/>
        <w:shd w:val="clear" w:color="auto" w:fill="auto"/>
        <w:spacing w:before="0" w:after="240"/>
        <w:ind w:firstLine="740"/>
      </w:pPr>
      <w:r>
        <w:t xml:space="preserve">В этой связи, учителям биологии при организации </w:t>
      </w:r>
      <w:r>
        <w:t>дифференцированного обучения школьников с разным уровнем предметной подготовки, необходимо обратить внимание на выполнение обучающимися заданий обозначенного типа.</w:t>
      </w:r>
    </w:p>
    <w:p w:rsidR="00C9565F" w:rsidRDefault="00500C57">
      <w:pPr>
        <w:pStyle w:val="40"/>
        <w:shd w:val="clear" w:color="auto" w:fill="auto"/>
        <w:spacing w:before="0" w:after="0" w:line="274" w:lineRule="exact"/>
        <w:ind w:firstLine="0"/>
        <w:jc w:val="left"/>
      </w:pPr>
      <w:r>
        <w:rPr>
          <w:rStyle w:val="4115pt"/>
        </w:rPr>
        <w:t xml:space="preserve">о </w:t>
      </w:r>
      <w:r>
        <w:t>Администрациям образовательных организаций:</w:t>
      </w:r>
    </w:p>
    <w:p w:rsidR="00C9565F" w:rsidRDefault="00500C57">
      <w:pPr>
        <w:pStyle w:val="22"/>
        <w:shd w:val="clear" w:color="auto" w:fill="auto"/>
        <w:spacing w:before="0" w:after="0"/>
        <w:ind w:firstLine="740"/>
      </w:pPr>
      <w:r>
        <w:t>Создать условия для прохождения учителями биол</w:t>
      </w:r>
      <w:r>
        <w:t>огии курсов повышения квалификации по направлениям, имеющим отношение к совершенствованию методики преподавания биологии в контексте обновлённых ФГОС ООО, к использованию современных средств оценивания результатов обучения, к организации учебно</w:t>
      </w:r>
      <w:r>
        <w:softHyphen/>
        <w:t>исследовате</w:t>
      </w:r>
      <w:r>
        <w:t>льской и проектной деятельности в процессе изучения биологии, к подготовке обучающихся к ОГЭ с разбором линии заданий, которые оказались наиболее сложными для выполнения.</w:t>
      </w:r>
    </w:p>
    <w:p w:rsidR="00C9565F" w:rsidRDefault="00500C57">
      <w:pPr>
        <w:pStyle w:val="22"/>
        <w:shd w:val="clear" w:color="auto" w:fill="auto"/>
        <w:spacing w:before="0" w:after="360"/>
        <w:ind w:firstLine="740"/>
      </w:pPr>
      <w:r>
        <w:t>Провести собрания с педагогами, обучающимися и их родителями (законными представителя</w:t>
      </w:r>
      <w:r>
        <w:t>ми) по вопросам ГИА (собрания с педагогами, обучающимися и родителями (законными представителями) по вопросам ГИА (ЕГЭ, ОГЭ, ГВЭ) следует проводить, начиная с октября. Эта работа в обязательном порядке должна быть проведена также среди обучающихся с ограни</w:t>
      </w:r>
      <w:r>
        <w:t>ченными возможностями здоровья и их родителей (законных представителей). Собрания необходимо проводить по конкретным вопросам, изложенным в нормативных или распорядительных документах по ГИА (например, о сроках и месте подачи заявления для участия в ГИА; о</w:t>
      </w:r>
      <w:r>
        <w:t xml:space="preserve"> выборе предметов и т.д.)</w:t>
      </w:r>
    </w:p>
    <w:p w:rsidR="00C9565F" w:rsidRDefault="00500C57">
      <w:pPr>
        <w:pStyle w:val="40"/>
        <w:shd w:val="clear" w:color="auto" w:fill="auto"/>
        <w:spacing w:before="0" w:after="0" w:line="274" w:lineRule="exact"/>
        <w:ind w:firstLine="0"/>
        <w:jc w:val="left"/>
      </w:pPr>
      <w:r>
        <w:rPr>
          <w:rStyle w:val="4115pt"/>
        </w:rPr>
        <w:t xml:space="preserve">о </w:t>
      </w:r>
      <w:r>
        <w:t>Муниципальным органам управления образованием.</w:t>
      </w:r>
    </w:p>
    <w:p w:rsidR="00C9565F" w:rsidRDefault="00500C57">
      <w:pPr>
        <w:pStyle w:val="22"/>
        <w:shd w:val="clear" w:color="auto" w:fill="auto"/>
        <w:spacing w:before="0" w:after="353"/>
        <w:ind w:firstLine="740"/>
      </w:pPr>
      <w:r>
        <w:t xml:space="preserve">На ранних этапах подготовки к экзаменационным испытаниям необходимо выявить </w:t>
      </w:r>
      <w:r>
        <w:lastRenderedPageBreak/>
        <w:t>детей, которые могут потенциально продемонстрировать низкие результаты в процессе выполнения заданий на О</w:t>
      </w:r>
      <w:r>
        <w:t>ГЭ и обеспечить индивидуальные занятия по ликвидации пробелов в знаниях этих обучающихся; на каждого обучающегося группы риска целесообразно создать индивидуальную карту занятий и индивидуальный график восполнения пробелов в знаниях и назначить даты поэтап</w:t>
      </w:r>
      <w:r>
        <w:t>ного погашения задолженностей, сообщив эти графики родителям обучающихся.</w:t>
      </w:r>
    </w:p>
    <w:p w:rsidR="00C9565F" w:rsidRDefault="00500C57">
      <w:pPr>
        <w:pStyle w:val="40"/>
        <w:shd w:val="clear" w:color="auto" w:fill="auto"/>
        <w:spacing w:before="0" w:after="0" w:line="283" w:lineRule="exact"/>
        <w:ind w:firstLine="0"/>
        <w:jc w:val="left"/>
      </w:pPr>
      <w:r>
        <w:rPr>
          <w:rStyle w:val="4115pt"/>
        </w:rPr>
        <w:t xml:space="preserve">о </w:t>
      </w:r>
      <w:r>
        <w:t>Прочие рекомендации.</w:t>
      </w:r>
    </w:p>
    <w:p w:rsidR="00C9565F" w:rsidRDefault="00500C57">
      <w:pPr>
        <w:pStyle w:val="22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 w:line="283" w:lineRule="exact"/>
        <w:ind w:firstLine="740"/>
      </w:pPr>
      <w:r>
        <w:t>организовать мероприятия по обмену опытом: проведение и обсуждение открытых уроков, мастер-классов по актуальным темам преподавания учебного предмета «Биология</w:t>
      </w:r>
      <w:r>
        <w:t>»;</w:t>
      </w:r>
    </w:p>
    <w:p w:rsidR="00C9565F" w:rsidRDefault="00500C57">
      <w:pPr>
        <w:pStyle w:val="22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 w:line="283" w:lineRule="exact"/>
        <w:ind w:firstLine="740"/>
      </w:pPr>
      <w:r>
        <w:t>проводить в общеобразовательных организациях, профильные смены, функционирующие на основе модели центра «Сириус»;</w:t>
      </w:r>
    </w:p>
    <w:p w:rsidR="00C9565F" w:rsidRDefault="00500C57">
      <w:pPr>
        <w:pStyle w:val="22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 w:line="283" w:lineRule="exact"/>
        <w:ind w:firstLine="740"/>
      </w:pPr>
      <w:r>
        <w:t>разработать и реализовать программы наставничества, включающие оказание методической помощи молодым специалистам, учителям, испытывающим за</w:t>
      </w:r>
      <w:r>
        <w:t>труднения.</w:t>
      </w:r>
    </w:p>
    <w:sectPr w:rsidR="00C9565F">
      <w:footerReference w:type="default" r:id="rId7"/>
      <w:pgSz w:w="11900" w:h="16840"/>
      <w:pgMar w:top="1272" w:right="795" w:bottom="1094" w:left="1640" w:header="0" w:footer="3" w:gutter="0"/>
      <w:pgNumType w:start="20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C57" w:rsidRDefault="00500C57">
      <w:r>
        <w:separator/>
      </w:r>
    </w:p>
  </w:endnote>
  <w:endnote w:type="continuationSeparator" w:id="0">
    <w:p w:rsidR="00500C57" w:rsidRDefault="0050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5F" w:rsidRDefault="006559B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6814185</wp:posOffset>
              </wp:positionH>
              <wp:positionV relativeFrom="page">
                <wp:posOffset>10123170</wp:posOffset>
              </wp:positionV>
              <wp:extent cx="212725" cy="170815"/>
              <wp:effectExtent l="3810" t="0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65F" w:rsidRDefault="00500C5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59BE" w:rsidRPr="006559BE">
                            <w:rPr>
                              <w:rStyle w:val="a6"/>
                              <w:noProof/>
                            </w:rPr>
                            <w:t>206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55pt;margin-top:797.1pt;width:16.75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JdpwIAAKY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" filled="f" stroked="f">
              <v:textbox style="mso-fit-shape-to-text:t" inset="0,0,0,0">
                <w:txbxContent>
                  <w:p w:rsidR="00C9565F" w:rsidRDefault="00500C5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59BE" w:rsidRPr="006559BE">
                      <w:rPr>
                        <w:rStyle w:val="a6"/>
                        <w:noProof/>
                      </w:rPr>
                      <w:t>206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C57" w:rsidRDefault="00500C57"/>
  </w:footnote>
  <w:footnote w:type="continuationSeparator" w:id="0">
    <w:p w:rsidR="00500C57" w:rsidRDefault="00500C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4FCA"/>
    <w:multiLevelType w:val="multilevel"/>
    <w:tmpl w:val="76622ED4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82642C"/>
    <w:multiLevelType w:val="multilevel"/>
    <w:tmpl w:val="87D6A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04585D"/>
    <w:multiLevelType w:val="multilevel"/>
    <w:tmpl w:val="5A724A46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5F"/>
    <w:rsid w:val="00500C57"/>
    <w:rsid w:val="006559BE"/>
    <w:rsid w:val="00C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B30D2B-A495-4865-B67B-14DE8D11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15pt">
    <w:name w:val="Основной текст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ind w:hanging="36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after="39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90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1554</Words>
  <Characters>8859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2023-09-21T04:55:00Z</dcterms:created>
  <dcterms:modified xsi:type="dcterms:W3CDTF">2023-09-21T05:02:00Z</dcterms:modified>
</cp:coreProperties>
</file>