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06151" w:rsidRDefault="00A06151">
      <w:pPr>
        <w:pStyle w:val="1"/>
      </w:pPr>
      <w:r>
        <w:fldChar w:fldCharType="begin"/>
      </w:r>
      <w:r>
        <w:instrText>HYPERLINK "http://ivo.garant.ru/document/redirect/73855332/0"</w:instrText>
      </w:r>
      <w:r>
        <w:fldChar w:fldCharType="separate"/>
      </w:r>
      <w:r>
        <w:rPr>
          <w:rStyle w:val="a4"/>
          <w:rFonts w:cs="Times New Roman CYR"/>
          <w:b w:val="0"/>
          <w:bCs w:val="0"/>
        </w:rPr>
        <w:t>Постановление Правительства РФ от 4 апреля 2020 г. N 448 "О внесении изменений в государственную программу Российской Федерации "Развитие образования"</w:t>
      </w:r>
      <w:r>
        <w:fldChar w:fldCharType="end"/>
      </w:r>
    </w:p>
    <w:p w:rsidR="00A06151" w:rsidRDefault="00A06151"/>
    <w:p w:rsidR="00A06151" w:rsidRDefault="00A06151">
      <w:r>
        <w:t>Правительство Российской Федерации постановляет:</w:t>
      </w:r>
    </w:p>
    <w:p w:rsidR="00A06151" w:rsidRDefault="00A06151">
      <w:bookmarkStart w:id="1" w:name="sub_1"/>
      <w:r>
        <w:t xml:space="preserve">1. Утвердить прилагаемые </w:t>
      </w:r>
      <w:hyperlink w:anchor="sub_1000" w:history="1">
        <w:r>
          <w:rPr>
            <w:rStyle w:val="a4"/>
            <w:rFonts w:cs="Times New Roman CYR"/>
          </w:rPr>
          <w:t>изменения</w:t>
        </w:r>
      </w:hyperlink>
      <w:r>
        <w:t xml:space="preserve">, которые вносятся в </w:t>
      </w:r>
      <w:hyperlink r:id="rId8" w:history="1">
        <w:r>
          <w:rPr>
            <w:rStyle w:val="a4"/>
            <w:rFonts w:cs="Times New Roman CYR"/>
          </w:rPr>
          <w:t>государственную программу</w:t>
        </w:r>
      </w:hyperlink>
      <w:r>
        <w:t xml:space="preserve"> Российской Федерации "Развитие образования", утвержденную </w:t>
      </w:r>
      <w:hyperlink r:id="rId9" w:history="1">
        <w:r>
          <w:rPr>
            <w:rStyle w:val="a4"/>
            <w:rFonts w:cs="Times New Roman CYR"/>
          </w:rPr>
          <w:t>постановлением</w:t>
        </w:r>
      </w:hyperlink>
      <w:r>
        <w:t xml:space="preserve"> Правительства Российской Федерации от 26 декабря 2017 г. N 1642 "Об утверждении государственной программы Российской Федерации "Развитие образования" (Собрание законодательства Российской Федерации, 2018, N 1, ст. 375; N 10, ст. 1500; N 42, ст. 6462; 2019, N 5, ст. 372; N 15, ст. 1747; N 34, ст. 4880; N 46, ст. 6496; N 49, ст. 7142; N 50, ст. 7402; N 52, ст. 7960; 2020, N 1, ст. 70; N 9, ст. 1204; N 12, ст. 1763; Официальный интернет-портал правовой информации (</w:t>
      </w:r>
      <w:hyperlink r:id="rId10" w:history="1">
        <w:r>
          <w:rPr>
            <w:rStyle w:val="a4"/>
            <w:rFonts w:cs="Times New Roman CYR"/>
          </w:rPr>
          <w:t>www.pravo.gov.ru</w:t>
        </w:r>
      </w:hyperlink>
      <w:r>
        <w:t>), 2020, 1 апреля, N 0001202004010021).</w:t>
      </w:r>
    </w:p>
    <w:p w:rsidR="00A06151" w:rsidRDefault="00A06151">
      <w:bookmarkStart w:id="2" w:name="sub_2"/>
      <w:bookmarkEnd w:id="1"/>
      <w:r>
        <w:t xml:space="preserve">2. Установить, что расчет иных межбюджетных трансфертов из федерального бюджета бюджетам субъектов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рамках </w:t>
      </w:r>
      <w:hyperlink r:id="rId11" w:history="1">
        <w:r>
          <w:rPr>
            <w:rStyle w:val="a4"/>
            <w:rFonts w:cs="Times New Roman CYR"/>
          </w:rPr>
          <w:t>государственной программы</w:t>
        </w:r>
      </w:hyperlink>
      <w:r>
        <w:t xml:space="preserve"> Российской Федерации "Развитие образования" в 2020 году осуществляется с 1 сентября по 31 декабря 2020 г.</w:t>
      </w:r>
    </w:p>
    <w:bookmarkEnd w:id="2"/>
    <w:p w:rsidR="00A06151" w:rsidRDefault="00A06151"/>
    <w:tbl>
      <w:tblPr>
        <w:tblW w:w="5000" w:type="pct"/>
        <w:tblInd w:w="108" w:type="dxa"/>
        <w:tblLook w:val="0000" w:firstRow="0" w:lastRow="0" w:firstColumn="0" w:lastColumn="0" w:noHBand="0" w:noVBand="0"/>
      </w:tblPr>
      <w:tblGrid>
        <w:gridCol w:w="7010"/>
        <w:gridCol w:w="3506"/>
      </w:tblGrid>
      <w:tr w:rsidR="00A06151">
        <w:tblPrEx>
          <w:tblCellMar>
            <w:top w:w="0" w:type="dxa"/>
            <w:bottom w:w="0" w:type="dxa"/>
          </w:tblCellMar>
        </w:tblPrEx>
        <w:tc>
          <w:tcPr>
            <w:tcW w:w="3302" w:type="pct"/>
            <w:tcBorders>
              <w:top w:val="nil"/>
              <w:left w:val="nil"/>
              <w:bottom w:val="nil"/>
              <w:right w:val="nil"/>
            </w:tcBorders>
          </w:tcPr>
          <w:p w:rsidR="00A06151" w:rsidRDefault="00A06151">
            <w:pPr>
              <w:pStyle w:val="a6"/>
            </w:pPr>
            <w:r>
              <w:t>Председатель Правительства</w:t>
            </w:r>
            <w:r>
              <w:br/>
              <w:t>Российской Федерации</w:t>
            </w:r>
          </w:p>
        </w:tc>
        <w:tc>
          <w:tcPr>
            <w:tcW w:w="1651" w:type="pct"/>
            <w:tcBorders>
              <w:top w:val="nil"/>
              <w:left w:val="nil"/>
              <w:bottom w:val="nil"/>
              <w:right w:val="nil"/>
            </w:tcBorders>
          </w:tcPr>
          <w:p w:rsidR="00A06151" w:rsidRDefault="00A06151">
            <w:pPr>
              <w:pStyle w:val="a5"/>
              <w:jc w:val="right"/>
            </w:pPr>
            <w:r>
              <w:t>М. Мишустин</w:t>
            </w:r>
          </w:p>
        </w:tc>
      </w:tr>
    </w:tbl>
    <w:p w:rsidR="00A06151" w:rsidRDefault="00A06151"/>
    <w:p w:rsidR="00A06151" w:rsidRDefault="00A06151">
      <w:pPr>
        <w:ind w:firstLine="698"/>
        <w:jc w:val="right"/>
      </w:pPr>
      <w:bookmarkStart w:id="3" w:name="sub_1000"/>
      <w:r>
        <w:rPr>
          <w:rStyle w:val="a3"/>
          <w:bCs/>
        </w:rPr>
        <w:t>УТВЕРЖДЕНЫ</w:t>
      </w:r>
      <w:r>
        <w:rPr>
          <w:rStyle w:val="a3"/>
          <w:bCs/>
        </w:rPr>
        <w:br/>
      </w:r>
      <w:hyperlink w:anchor="sub_0" w:history="1">
        <w:r>
          <w:rPr>
            <w:rStyle w:val="a4"/>
            <w:rFonts w:cs="Times New Roman CYR"/>
          </w:rPr>
          <w:t>постановлением</w:t>
        </w:r>
      </w:hyperlink>
      <w:r>
        <w:rPr>
          <w:rStyle w:val="a3"/>
          <w:bCs/>
        </w:rPr>
        <w:t xml:space="preserve"> Правительства</w:t>
      </w:r>
      <w:r>
        <w:rPr>
          <w:rStyle w:val="a3"/>
          <w:bCs/>
        </w:rPr>
        <w:br/>
        <w:t>Российской Федерации</w:t>
      </w:r>
      <w:r>
        <w:rPr>
          <w:rStyle w:val="a3"/>
          <w:bCs/>
        </w:rPr>
        <w:br/>
        <w:t>от 4 апреля 2020 г. N 448</w:t>
      </w:r>
    </w:p>
    <w:bookmarkEnd w:id="3"/>
    <w:p w:rsidR="00A06151" w:rsidRDefault="00A06151"/>
    <w:p w:rsidR="00A06151" w:rsidRDefault="00A06151">
      <w:pPr>
        <w:pStyle w:val="1"/>
      </w:pPr>
      <w:r>
        <w:t>Изменения,</w:t>
      </w:r>
      <w:r>
        <w:br/>
        <w:t>которые вносятся в государственную программу Российской Федерации "Развитие образования"</w:t>
      </w:r>
    </w:p>
    <w:p w:rsidR="00A06151" w:rsidRDefault="00A06151"/>
    <w:p w:rsidR="00A06151" w:rsidRDefault="00A06151">
      <w:bookmarkStart w:id="4" w:name="sub_1001"/>
      <w:r>
        <w:t xml:space="preserve">1. Позицию паспорта Программы, касающуюся </w:t>
      </w:r>
      <w:hyperlink r:id="rId12" w:history="1">
        <w:r>
          <w:rPr>
            <w:rStyle w:val="a4"/>
            <w:rFonts w:cs="Times New Roman CYR"/>
          </w:rPr>
          <w:t>приложений</w:t>
        </w:r>
      </w:hyperlink>
      <w:r>
        <w:t xml:space="preserve"> к Программе, дополнить </w:t>
      </w:r>
      <w:hyperlink r:id="rId13" w:history="1">
        <w:r>
          <w:rPr>
            <w:rStyle w:val="a4"/>
            <w:rFonts w:cs="Times New Roman CYR"/>
          </w:rPr>
          <w:t>абзацем</w:t>
        </w:r>
      </w:hyperlink>
      <w:r>
        <w:t xml:space="preserve"> следующего содержания:</w:t>
      </w:r>
    </w:p>
    <w:p w:rsidR="00A06151" w:rsidRDefault="00A06151">
      <w:bookmarkStart w:id="5" w:name="sub_1528"/>
      <w:bookmarkEnd w:id="4"/>
      <w:r>
        <w:t>"приложение N 28 "Правила предоставления и распределения иных межбюджетных трансфертов из федерального бюджета бюджетам субъектов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A06151" w:rsidRDefault="00A06151">
      <w:bookmarkStart w:id="6" w:name="sub_1002"/>
      <w:bookmarkEnd w:id="5"/>
      <w:r>
        <w:t xml:space="preserve">2. Дополнить </w:t>
      </w:r>
      <w:hyperlink r:id="rId14" w:history="1">
        <w:r>
          <w:rPr>
            <w:rStyle w:val="a4"/>
            <w:rFonts w:cs="Times New Roman CYR"/>
          </w:rPr>
          <w:t>приложением N 28</w:t>
        </w:r>
      </w:hyperlink>
      <w:r>
        <w:t xml:space="preserve"> следующего содержания:</w:t>
      </w:r>
    </w:p>
    <w:bookmarkEnd w:id="6"/>
    <w:p w:rsidR="00A06151" w:rsidRDefault="00A06151"/>
    <w:p w:rsidR="00A06151" w:rsidRDefault="00A06151">
      <w:pPr>
        <w:ind w:firstLine="698"/>
        <w:jc w:val="right"/>
      </w:pPr>
      <w:bookmarkStart w:id="7" w:name="sub_28000"/>
      <w:r>
        <w:rPr>
          <w:rStyle w:val="a3"/>
          <w:bCs/>
        </w:rPr>
        <w:t>"ПРИЛОЖЕНИЕ N 28</w:t>
      </w:r>
      <w:r>
        <w:rPr>
          <w:rStyle w:val="a3"/>
          <w:bCs/>
        </w:rPr>
        <w:br/>
        <w:t>к государственной программе</w:t>
      </w:r>
      <w:r>
        <w:rPr>
          <w:rStyle w:val="a3"/>
          <w:bCs/>
        </w:rPr>
        <w:br/>
        <w:t>Российской Федерации</w:t>
      </w:r>
      <w:r>
        <w:rPr>
          <w:rStyle w:val="a3"/>
          <w:bCs/>
        </w:rPr>
        <w:br/>
        <w:t>"Развитие образования"</w:t>
      </w:r>
    </w:p>
    <w:bookmarkEnd w:id="7"/>
    <w:p w:rsidR="00A06151" w:rsidRDefault="00A06151"/>
    <w:p w:rsidR="00A06151" w:rsidRDefault="00A06151">
      <w:pPr>
        <w:pStyle w:val="1"/>
      </w:pPr>
      <w:r>
        <w:t>Правила</w:t>
      </w:r>
      <w:r>
        <w:br/>
        <w:t>предоставления и распределения иных межбюджетных трансфертов из федерального бюджета бюджетам субъектов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A06151" w:rsidRDefault="00A06151"/>
    <w:p w:rsidR="00A06151" w:rsidRDefault="00A06151">
      <w:bookmarkStart w:id="8" w:name="sub_28001"/>
      <w:r>
        <w:t>1. Настоящие Правила устанавливают цели, условия и порядок предоставления и распределения иных межбюджетных трансфертов из федерального бюджета бюджетам субъектов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(далее - общеобразовательные организации), в рамках реализации государственной программы Российской Федерации "Развитие образования" (далее - иные межбюджетные трансферты).</w:t>
      </w:r>
    </w:p>
    <w:p w:rsidR="00A06151" w:rsidRDefault="00A06151">
      <w:bookmarkStart w:id="9" w:name="sub_28002"/>
      <w:bookmarkEnd w:id="8"/>
      <w:r>
        <w:t>2. Иные межбюджетные трансферты предоставляются в целях софинансирования в полном объеме расходных обязательств субъектов Российской Федерации, возникающих при осуществлении выплат ежемесячного денежного вознаграждения за классное руководство педагогическим работникам общеобразовательных организаций из расчета 5 тысяч рублей в месяц с учетом установленных трудовым законодательством Российской Федерации отчислений по социальному страхованию в государственные внебюджетные фонды Российской Федерации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 учетом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в государственные внебюджетные фонды) и районных коэффициентов к заработной плате,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 высокогорных, пустынных, безводных и других районах (местностях) с особыми климатическими условиями (далее - районные коэффициенты) и процентной надбавки к заработной плате за стаж работы в районах Крайнего Севера и приравненных к ним местностях, а также за работу в других районах (местностях) с особыми климатическими условиями (далее - процентные надбавки).</w:t>
      </w:r>
    </w:p>
    <w:p w:rsidR="00A06151" w:rsidRDefault="00A06151">
      <w:bookmarkStart w:id="10" w:name="sub_28003"/>
      <w:bookmarkEnd w:id="9"/>
      <w:r>
        <w:t>3. Иные межбюджетные трансферты предоставляются в пределах лимитов бюджетных обязательств, доведенных в установленном порядке до Министерства просвещения Российской Федерации как получателя средств федерального бюджета на цели, указанные в пункте 2 настоящих Правил.</w:t>
      </w:r>
    </w:p>
    <w:p w:rsidR="00A06151" w:rsidRDefault="00A06151">
      <w:bookmarkStart w:id="11" w:name="sub_28004"/>
      <w:bookmarkEnd w:id="10"/>
      <w:r>
        <w:t>4. Распределение иных межбюджетных трансфертов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A06151" w:rsidRDefault="00A06151">
      <w:bookmarkStart w:id="12" w:name="sub_28005"/>
      <w:bookmarkEnd w:id="11"/>
      <w:r>
        <w:t xml:space="preserve">5. Критерием отбора субъекта Российской Федерации для предоставления иного межбюджетного трансферта является наличие потребности субъекта Российской Федерации в обеспечении выплат ежемесячного денежного вознаграждения за классное руководство исходя из прогнозируемой численности педагогических работников общеобразовательных организаций на </w:t>
      </w:r>
      <w:r>
        <w:lastRenderedPageBreak/>
        <w:t>начало учебного года.</w:t>
      </w:r>
    </w:p>
    <w:p w:rsidR="00A06151" w:rsidRDefault="00A06151">
      <w:bookmarkStart w:id="13" w:name="sub_28006"/>
      <w:bookmarkEnd w:id="12"/>
      <w:r>
        <w:t>6. Условием предоставления иных межбюджетных трансфертов является наличие у субъекта Российской Федерации принятого в установленном порядке нормативного правового акта, устанавливающего расходное обязательство субъекта Российской Федерации, в целях софинансирования которого предоставляются иные межбюджетные трансферты.</w:t>
      </w:r>
    </w:p>
    <w:p w:rsidR="00A06151" w:rsidRDefault="00A06151">
      <w:bookmarkStart w:id="14" w:name="sub_28007"/>
      <w:bookmarkEnd w:id="13"/>
      <w:r>
        <w:t>7. Предоставление иных межбюджетных трансфертов осуществляется на основании соглашения о предоставлении иного межбюджетного трансферта, заключаемого Министерством просвещения Российской Федерации и высшим исполнительным органом государственной власти субъекта Российской Федерации (далее - соглашение)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утвержденной Министерством финансов Российской Федерации.</w:t>
      </w:r>
    </w:p>
    <w:bookmarkEnd w:id="14"/>
    <w:p w:rsidR="00A06151" w:rsidRDefault="00A06151">
      <w:r>
        <w:t>При заключении соглашения высший исполнительный орган государственной власти субъекта Российской Федерации представляет в Министерство просвещения Российской Федерации отчет об исполнении условия предоставления иного межбюджетного трансферта, предусмотренного пунктом 6 настоящих Правил.</w:t>
      </w:r>
    </w:p>
    <w:p w:rsidR="00A06151" w:rsidRDefault="00A06151">
      <w:bookmarkStart w:id="15" w:name="sub_28008"/>
      <w:r>
        <w:t>8. В целях реализации принятого субъектом Российской Федерации в установленном порядке нормативного правового акта, устанавливающего расходное обязательство субъекта Российской Федерации, в целях софинансирования которого предоставляются межбюджетные трансферты, может быть предусмотрено предоставление межбюджетных трансфертов из бюджета субъекта Российской Федерации местным бюджетам.</w:t>
      </w:r>
    </w:p>
    <w:p w:rsidR="00A06151" w:rsidRDefault="00A06151">
      <w:bookmarkStart w:id="16" w:name="sub_28009"/>
      <w:bookmarkEnd w:id="15"/>
      <w:r>
        <w:t>9.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размещает в установленный срок в соответствии с соглашением в государственной интегрированной информационной системе управления общественными финансами "Электронный бюджет":</w:t>
      </w:r>
    </w:p>
    <w:bookmarkEnd w:id="16"/>
    <w:p w:rsidR="00A06151" w:rsidRDefault="00A06151">
      <w:r>
        <w:t>отчет о расходах бюджета субъекта Российской Федерации, в целях софинансирования которых предоставляются иные межбюджетные трансферты, - ежемесячно, не позднее 10-го числа месяца, следующего за отчетным месяцем;</w:t>
      </w:r>
    </w:p>
    <w:p w:rsidR="00A06151" w:rsidRDefault="00A06151">
      <w:r>
        <w:t>отчет о достижении значения результата предоставления иных межбюджетных трансфертов, которое устанавливается в соглашении, - ежемесячно, не позднее 10-го числа месяца, следующего за отчетным месяцем.</w:t>
      </w:r>
    </w:p>
    <w:p w:rsidR="00A06151" w:rsidRDefault="00A06151">
      <w:bookmarkStart w:id="17" w:name="sub_28010"/>
      <w:r>
        <w:t>10. Результатом предоставления иных межбюджетных трансфертов является доля педагогических работников общеобразовательных организаций, получивших ежемесячное денежное вознаграждение за классное руководство из расчета 5 тысяч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p w:rsidR="00A06151" w:rsidRDefault="00A06151">
      <w:bookmarkStart w:id="18" w:name="sub_28011"/>
      <w:bookmarkEnd w:id="17"/>
      <w:r>
        <w:t>11. Размер предоставляемого бюджету субъекта Российской Федерации иного межбюджетного трансферта (T</w:t>
      </w:r>
      <w:r>
        <w:rPr>
          <w:vertAlign w:val="subscript"/>
        </w:rPr>
        <w:t> 1i</w:t>
      </w:r>
      <w:r>
        <w:t>) определяется по формуле:</w:t>
      </w:r>
    </w:p>
    <w:bookmarkEnd w:id="18"/>
    <w:p w:rsidR="00A06151" w:rsidRDefault="00A06151"/>
    <w:p w:rsidR="00A06151" w:rsidRDefault="00A06151">
      <w:pPr>
        <w:ind w:firstLine="698"/>
        <w:jc w:val="center"/>
      </w:pPr>
      <w:r>
        <w:t>Т</w:t>
      </w:r>
      <w:r>
        <w:rPr>
          <w:vertAlign w:val="subscript"/>
        </w:rPr>
        <w:t>1i</w:t>
      </w:r>
      <w:r>
        <w:t xml:space="preserve"> = (T</w:t>
      </w:r>
      <w:r>
        <w:rPr>
          <w:vertAlign w:val="subscript"/>
        </w:rPr>
        <w:t>кр</w:t>
      </w:r>
      <w:r>
        <w:t xml:space="preserve"> </w:t>
      </w:r>
      <w:r w:rsidR="006B529E">
        <w:rPr>
          <w:noProof/>
        </w:rPr>
        <w:drawing>
          <wp:inline distT="0" distB="0" distL="0" distR="0">
            <wp:extent cx="114300"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 xml:space="preserve"> (Р</w:t>
      </w:r>
      <w:r>
        <w:rPr>
          <w:vertAlign w:val="subscript"/>
        </w:rPr>
        <w:t>к</w:t>
      </w:r>
      <w:r>
        <w:t xml:space="preserve"> + Пн)) </w:t>
      </w:r>
      <w:r w:rsidR="006B529E">
        <w:rPr>
          <w:noProof/>
        </w:rPr>
        <w:drawing>
          <wp:inline distT="0" distB="0" distL="0" distR="0">
            <wp:extent cx="114300"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 xml:space="preserve"> Н</w:t>
      </w:r>
      <w:r>
        <w:rPr>
          <w:vertAlign w:val="subscript"/>
        </w:rPr>
        <w:t>1</w:t>
      </w:r>
      <w:r>
        <w:t xml:space="preserve"> </w:t>
      </w:r>
      <w:r w:rsidR="006B529E">
        <w:rPr>
          <w:noProof/>
        </w:rPr>
        <w:drawing>
          <wp:inline distT="0" distB="0" distL="0" distR="0">
            <wp:extent cx="114300"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 xml:space="preserve"> Nм </w:t>
      </w:r>
      <w:r w:rsidR="006B529E">
        <w:rPr>
          <w:noProof/>
        </w:rPr>
        <w:drawing>
          <wp:inline distT="0" distB="0" distL="0" distR="0">
            <wp:extent cx="1143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 xml:space="preserve"> S</w:t>
      </w:r>
      <w:r>
        <w:rPr>
          <w:vertAlign w:val="subscript"/>
        </w:rPr>
        <w:t>взн</w:t>
      </w:r>
      <w:r>
        <w:t>,</w:t>
      </w:r>
    </w:p>
    <w:p w:rsidR="00A06151" w:rsidRDefault="00A06151"/>
    <w:p w:rsidR="00A06151" w:rsidRDefault="00A06151">
      <w:r>
        <w:t>где:</w:t>
      </w:r>
    </w:p>
    <w:p w:rsidR="00A06151" w:rsidRDefault="00A06151">
      <w:r>
        <w:t>T</w:t>
      </w:r>
      <w:r>
        <w:rPr>
          <w:vertAlign w:val="subscript"/>
        </w:rPr>
        <w:t> кр</w:t>
      </w:r>
      <w:r>
        <w:t xml:space="preserve"> - 5000 рублей - размер выплаты ежемесячного денежного вознаграждения за классное руководство педагогическим работникам общеобразовательных организаций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A06151" w:rsidRDefault="00A06151">
      <w:r>
        <w:t>Р</w:t>
      </w:r>
      <w:r>
        <w:rPr>
          <w:vertAlign w:val="subscript"/>
        </w:rPr>
        <w:t> к</w:t>
      </w:r>
      <w:r>
        <w:t xml:space="preserve"> - районные коэффициенты;</w:t>
      </w:r>
    </w:p>
    <w:p w:rsidR="00A06151" w:rsidRDefault="00A06151">
      <w:r>
        <w:t>П</w:t>
      </w:r>
      <w:r>
        <w:rPr>
          <w:vertAlign w:val="subscript"/>
        </w:rPr>
        <w:t> н</w:t>
      </w:r>
      <w:r>
        <w:t xml:space="preserve"> - процентные надбавки;</w:t>
      </w:r>
    </w:p>
    <w:p w:rsidR="00A06151" w:rsidRDefault="00A06151">
      <w:r>
        <w:lastRenderedPageBreak/>
        <w:t>H</w:t>
      </w:r>
      <w:r>
        <w:rPr>
          <w:vertAlign w:val="subscript"/>
        </w:rPr>
        <w:t> 1</w:t>
      </w:r>
      <w:r>
        <w:t xml:space="preserve"> - заявленная субъектом Российской Федерации прогнозируемая численность педагогических работников общеобразовательных организаций, получающих вознаграждение за классное руководство;</w:t>
      </w:r>
    </w:p>
    <w:p w:rsidR="00A06151" w:rsidRDefault="00A06151">
      <w:r>
        <w:t>N</w:t>
      </w:r>
      <w:r>
        <w:rPr>
          <w:vertAlign w:val="subscript"/>
        </w:rPr>
        <w:t> м</w:t>
      </w:r>
      <w:r>
        <w:t xml:space="preserve"> - количество месяцев в году, в которые выплачивается ежемесячное денежное вознаграждение педагогическим работникам общеобразовательных организаций за классное руководство;</w:t>
      </w:r>
    </w:p>
    <w:p w:rsidR="00A06151" w:rsidRDefault="00A06151">
      <w:r>
        <w:t>S</w:t>
      </w:r>
      <w:r>
        <w:rPr>
          <w:vertAlign w:val="subscript"/>
        </w:rPr>
        <w:t> взн</w:t>
      </w:r>
      <w:r>
        <w:t xml:space="preserve"> - страховые взносы в государственные внебюджетные фонды.</w:t>
      </w:r>
    </w:p>
    <w:p w:rsidR="00A06151" w:rsidRDefault="00A06151">
      <w:bookmarkStart w:id="19" w:name="sub_28012"/>
      <w:r>
        <w:t>12. Перечисление иных межбюджетных трансфертов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A06151" w:rsidRDefault="00A06151">
      <w:bookmarkStart w:id="20" w:name="sub_28013"/>
      <w:bookmarkEnd w:id="19"/>
      <w:r>
        <w:t>13. Оценка эффективности предоставления иных межбюджетных трансфертов осуществляется Министерством просвещения Российской Федерации путем сравнения плановых и фактических значений результатов предоставления иных межбюджетных трансфертов, которые устанавливаются соглашением, -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A06151" w:rsidRDefault="00A06151">
      <w:bookmarkStart w:id="21" w:name="sub_28014"/>
      <w:bookmarkEnd w:id="20"/>
      <w:r>
        <w:t>14. В случае если субъектом Российской Федерации по состоянию на 31 декабря текущего финансового года допущено недостижение значения результата предоставления иных межбюджетных трансфертов, установленного соглашением, размер средств, подлежащих возврату из бюджета субъекта Российской Федерации в федеральный бюджет до 1 мая года, следующего за годом предоставления иных межбюджетных трансфертов (Т</w:t>
      </w:r>
      <w:r>
        <w:rPr>
          <w:vertAlign w:val="subscript"/>
        </w:rPr>
        <w:t> 2i</w:t>
      </w:r>
      <w:r>
        <w:t>), определяется по формуле:</w:t>
      </w:r>
    </w:p>
    <w:bookmarkEnd w:id="21"/>
    <w:p w:rsidR="00A06151" w:rsidRDefault="00A06151"/>
    <w:p w:rsidR="00A06151" w:rsidRDefault="00A06151">
      <w:pPr>
        <w:ind w:firstLine="698"/>
        <w:jc w:val="center"/>
      </w:pPr>
      <w:r>
        <w:t>Т</w:t>
      </w:r>
      <w:r>
        <w:rPr>
          <w:vertAlign w:val="subscript"/>
        </w:rPr>
        <w:t>2i</w:t>
      </w:r>
      <w:r>
        <w:t xml:space="preserve"> =Т</w:t>
      </w:r>
      <w:r>
        <w:rPr>
          <w:vertAlign w:val="subscript"/>
        </w:rPr>
        <w:t>1i</w:t>
      </w:r>
      <w:r>
        <w:t xml:space="preserve"> </w:t>
      </w:r>
      <w:r w:rsidR="006B529E">
        <w:rPr>
          <w:noProof/>
        </w:rPr>
        <w:drawing>
          <wp:inline distT="0" distB="0" distL="0" distR="0">
            <wp:extent cx="142875" cy="238125"/>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t xml:space="preserve"> (Т</w:t>
      </w:r>
      <w:r>
        <w:rPr>
          <w:vertAlign w:val="subscript"/>
        </w:rPr>
        <w:t>кр</w:t>
      </w:r>
      <w:r>
        <w:t xml:space="preserve"> </w:t>
      </w:r>
      <w:r w:rsidR="006B529E">
        <w:rPr>
          <w:noProof/>
        </w:rPr>
        <w:drawing>
          <wp:inline distT="0" distB="0" distL="0" distR="0">
            <wp:extent cx="114300" cy="209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 xml:space="preserve"> (Рк + П</w:t>
      </w:r>
      <w:r>
        <w:rPr>
          <w:vertAlign w:val="subscript"/>
        </w:rPr>
        <w:t>н</w:t>
      </w:r>
      <w:r>
        <w:t xml:space="preserve">)) </w:t>
      </w:r>
      <w:r w:rsidR="006B529E">
        <w:rPr>
          <w:noProof/>
        </w:rPr>
        <w:drawing>
          <wp:inline distT="0" distB="0" distL="0" distR="0">
            <wp:extent cx="114300"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 xml:space="preserve"> Н</w:t>
      </w:r>
      <w:r>
        <w:rPr>
          <w:vertAlign w:val="subscript"/>
        </w:rPr>
        <w:t>2</w:t>
      </w:r>
      <w:r>
        <w:t xml:space="preserve"> </w:t>
      </w:r>
      <w:r w:rsidR="006B529E">
        <w:rPr>
          <w:noProof/>
        </w:rPr>
        <w:drawing>
          <wp:inline distT="0" distB="0" distL="0" distR="0">
            <wp:extent cx="114300" cy="2095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 xml:space="preserve"> N</w:t>
      </w:r>
      <w:r>
        <w:rPr>
          <w:vertAlign w:val="subscript"/>
        </w:rPr>
        <w:t>м</w:t>
      </w:r>
      <w:r>
        <w:t xml:space="preserve"> </w:t>
      </w:r>
      <w:r w:rsidR="006B529E">
        <w:rPr>
          <w:noProof/>
        </w:rPr>
        <w:drawing>
          <wp:inline distT="0" distB="0" distL="0" distR="0">
            <wp:extent cx="114300" cy="209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 xml:space="preserve"> S</w:t>
      </w:r>
      <w:r>
        <w:rPr>
          <w:vertAlign w:val="subscript"/>
        </w:rPr>
        <w:t>взн</w:t>
      </w:r>
      <w:r>
        <w:t>,</w:t>
      </w:r>
    </w:p>
    <w:p w:rsidR="00A06151" w:rsidRDefault="00A06151"/>
    <w:p w:rsidR="00A06151" w:rsidRDefault="00A06151">
      <w:r>
        <w:t>где H</w:t>
      </w:r>
      <w:r>
        <w:rPr>
          <w:vertAlign w:val="subscript"/>
        </w:rPr>
        <w:t> 2</w:t>
      </w:r>
      <w:r>
        <w:t xml:space="preserve"> - фактическая численность педагогических работников общеобразовательных организаций субъекта Российской Федерации, получающих вознаграждение за классное руководство.</w:t>
      </w:r>
    </w:p>
    <w:p w:rsidR="00A06151" w:rsidRDefault="00A06151">
      <w:bookmarkStart w:id="22" w:name="sub_28015"/>
      <w:r>
        <w:t>15. Не позднее 20 января года, следующего за отчетным годом, в Министерство просвещения Российской Федерации представляется отчетность о расходах бюджетов субъектов Российской Федерации и достижении значения результата предоставления иного межбюджетного трансферта, установленного соглашением.</w:t>
      </w:r>
    </w:p>
    <w:p w:rsidR="00A06151" w:rsidRDefault="00A06151">
      <w:bookmarkStart w:id="23" w:name="sub_28016"/>
      <w:bookmarkEnd w:id="22"/>
      <w:r>
        <w:t>16. В случае нецелевого использования иного межбюджетного трансферта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A06151" w:rsidRDefault="00A06151">
      <w:bookmarkStart w:id="24" w:name="sub_28017"/>
      <w:bookmarkEnd w:id="23"/>
      <w:r>
        <w:t>17. Ответственность за достоверность представляемых в Министерство просвещения Российской Федерации информации и документов, предусмотренных настоящими Правилами, возлагается на высший исполнительный орган государственной власти субъекта Российской Федерации.</w:t>
      </w:r>
    </w:p>
    <w:p w:rsidR="00A06151" w:rsidRDefault="00A06151">
      <w:bookmarkStart w:id="25" w:name="sub_28018"/>
      <w:bookmarkEnd w:id="24"/>
      <w:r>
        <w:t>18. Контроль за соблюдением субъектами Российской Федерации целей, условий и порядка предоставления иных межбюджетных трансфертов осуществляется Министерством просвещения Российской Федерации и уполномоченными органами государственного финансового контроля.".</w:t>
      </w:r>
    </w:p>
    <w:bookmarkEnd w:id="25"/>
    <w:p w:rsidR="00A06151" w:rsidRDefault="00A06151"/>
    <w:sectPr w:rsidR="00A06151">
      <w:headerReference w:type="default" r:id="rId22"/>
      <w:footerReference w:type="default" r:id="rId23"/>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363" w:rsidRDefault="009E4363">
      <w:r>
        <w:separator/>
      </w:r>
    </w:p>
  </w:endnote>
  <w:endnote w:type="continuationSeparator" w:id="0">
    <w:p w:rsidR="009E4363" w:rsidRDefault="009E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06151">
      <w:tblPrEx>
        <w:tblCellMar>
          <w:top w:w="0" w:type="dxa"/>
          <w:left w:w="0" w:type="dxa"/>
          <w:bottom w:w="0" w:type="dxa"/>
          <w:right w:w="0" w:type="dxa"/>
        </w:tblCellMar>
      </w:tblPrEx>
      <w:tc>
        <w:tcPr>
          <w:tcW w:w="3433" w:type="dxa"/>
          <w:tcBorders>
            <w:top w:val="nil"/>
            <w:left w:val="nil"/>
            <w:bottom w:val="nil"/>
            <w:right w:val="nil"/>
          </w:tcBorders>
        </w:tcPr>
        <w:p w:rsidR="00A06151" w:rsidRDefault="00A0615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6B529E">
            <w:rPr>
              <w:rFonts w:ascii="Times New Roman" w:hAnsi="Times New Roman" w:cs="Times New Roman"/>
              <w:noProof/>
              <w:sz w:val="20"/>
              <w:szCs w:val="20"/>
            </w:rPr>
            <w:t>15.09.2021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A06151" w:rsidRDefault="00A0615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A06151" w:rsidRDefault="00A0615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6B529E">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6B529E">
            <w:rPr>
              <w:rFonts w:ascii="Times New Roman" w:hAnsi="Times New Roman" w:cs="Times New Roman"/>
              <w:noProof/>
              <w:sz w:val="20"/>
              <w:szCs w:val="20"/>
            </w:rPr>
            <w:t>4</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363" w:rsidRDefault="009E4363">
      <w:r>
        <w:separator/>
      </w:r>
    </w:p>
  </w:footnote>
  <w:footnote w:type="continuationSeparator" w:id="0">
    <w:p w:rsidR="009E4363" w:rsidRDefault="009E4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151" w:rsidRDefault="00A06151">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4 апреля 2020 г. N 448 "О внесении изменений в государственную программу…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E8F"/>
    <w:rsid w:val="00531E8F"/>
    <w:rsid w:val="006B529E"/>
    <w:rsid w:val="009E4363"/>
    <w:rsid w:val="00A06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semiHidden/>
    <w:unhideWhenUsed/>
    <w:pPr>
      <w:tabs>
        <w:tab w:val="center" w:pos="4677"/>
        <w:tab w:val="right" w:pos="9355"/>
      </w:tabs>
    </w:pPr>
  </w:style>
  <w:style w:type="character" w:customStyle="1" w:styleId="a9">
    <w:name w:val="Верхний колонтитул Знак"/>
    <w:basedOn w:val="a0"/>
    <w:link w:val="a8"/>
    <w:uiPriority w:val="99"/>
    <w:semiHidden/>
    <w:locked/>
    <w:rPr>
      <w:rFonts w:ascii="Times New Roman CYR" w:hAnsi="Times New Roman CYR" w:cs="Times New Roman CYR"/>
      <w:sz w:val="24"/>
      <w:szCs w:val="24"/>
    </w:rPr>
  </w:style>
  <w:style w:type="paragraph" w:styleId="aa">
    <w:name w:val="footer"/>
    <w:basedOn w:val="a"/>
    <w:link w:val="ab"/>
    <w:uiPriority w:val="99"/>
    <w:semiHidden/>
    <w:unhideWhenUsed/>
    <w:pPr>
      <w:tabs>
        <w:tab w:val="center" w:pos="4677"/>
        <w:tab w:val="right" w:pos="9355"/>
      </w:tabs>
    </w:pPr>
  </w:style>
  <w:style w:type="character" w:customStyle="1" w:styleId="ab">
    <w:name w:val="Нижний колонтитул Знак"/>
    <w:basedOn w:val="a0"/>
    <w:link w:val="aa"/>
    <w:uiPriority w:val="99"/>
    <w:semiHidden/>
    <w:locked/>
    <w:rPr>
      <w:rFonts w:ascii="Times New Roman CYR" w:hAnsi="Times New Roman CYR" w:cs="Times New Roman CYR"/>
      <w:sz w:val="24"/>
      <w:szCs w:val="24"/>
    </w:rPr>
  </w:style>
  <w:style w:type="paragraph" w:styleId="ac">
    <w:name w:val="Balloon Text"/>
    <w:basedOn w:val="a"/>
    <w:link w:val="ad"/>
    <w:uiPriority w:val="99"/>
    <w:semiHidden/>
    <w:unhideWhenUsed/>
    <w:rsid w:val="00531E8F"/>
    <w:rPr>
      <w:rFonts w:ascii="Tahoma" w:hAnsi="Tahoma" w:cs="Tahoma"/>
      <w:sz w:val="16"/>
      <w:szCs w:val="16"/>
    </w:rPr>
  </w:style>
  <w:style w:type="character" w:customStyle="1" w:styleId="ad">
    <w:name w:val="Текст выноски Знак"/>
    <w:basedOn w:val="a0"/>
    <w:link w:val="ac"/>
    <w:uiPriority w:val="99"/>
    <w:semiHidden/>
    <w:locked/>
    <w:rsid w:val="00531E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semiHidden/>
    <w:unhideWhenUsed/>
    <w:pPr>
      <w:tabs>
        <w:tab w:val="center" w:pos="4677"/>
        <w:tab w:val="right" w:pos="9355"/>
      </w:tabs>
    </w:pPr>
  </w:style>
  <w:style w:type="character" w:customStyle="1" w:styleId="a9">
    <w:name w:val="Верхний колонтитул Знак"/>
    <w:basedOn w:val="a0"/>
    <w:link w:val="a8"/>
    <w:uiPriority w:val="99"/>
    <w:semiHidden/>
    <w:locked/>
    <w:rPr>
      <w:rFonts w:ascii="Times New Roman CYR" w:hAnsi="Times New Roman CYR" w:cs="Times New Roman CYR"/>
      <w:sz w:val="24"/>
      <w:szCs w:val="24"/>
    </w:rPr>
  </w:style>
  <w:style w:type="paragraph" w:styleId="aa">
    <w:name w:val="footer"/>
    <w:basedOn w:val="a"/>
    <w:link w:val="ab"/>
    <w:uiPriority w:val="99"/>
    <w:semiHidden/>
    <w:unhideWhenUsed/>
    <w:pPr>
      <w:tabs>
        <w:tab w:val="center" w:pos="4677"/>
        <w:tab w:val="right" w:pos="9355"/>
      </w:tabs>
    </w:pPr>
  </w:style>
  <w:style w:type="character" w:customStyle="1" w:styleId="ab">
    <w:name w:val="Нижний колонтитул Знак"/>
    <w:basedOn w:val="a0"/>
    <w:link w:val="aa"/>
    <w:uiPriority w:val="99"/>
    <w:semiHidden/>
    <w:locked/>
    <w:rPr>
      <w:rFonts w:ascii="Times New Roman CYR" w:hAnsi="Times New Roman CYR" w:cs="Times New Roman CYR"/>
      <w:sz w:val="24"/>
      <w:szCs w:val="24"/>
    </w:rPr>
  </w:style>
  <w:style w:type="paragraph" w:styleId="ac">
    <w:name w:val="Balloon Text"/>
    <w:basedOn w:val="a"/>
    <w:link w:val="ad"/>
    <w:uiPriority w:val="99"/>
    <w:semiHidden/>
    <w:unhideWhenUsed/>
    <w:rsid w:val="00531E8F"/>
    <w:rPr>
      <w:rFonts w:ascii="Tahoma" w:hAnsi="Tahoma" w:cs="Tahoma"/>
      <w:sz w:val="16"/>
      <w:szCs w:val="16"/>
    </w:rPr>
  </w:style>
  <w:style w:type="character" w:customStyle="1" w:styleId="ad">
    <w:name w:val="Текст выноски Знак"/>
    <w:basedOn w:val="a0"/>
    <w:link w:val="ac"/>
    <w:uiPriority w:val="99"/>
    <w:semiHidden/>
    <w:locked/>
    <w:rsid w:val="00531E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1848426/1000" TargetMode="External"/><Relationship Id="rId13" Type="http://schemas.openxmlformats.org/officeDocument/2006/relationships/hyperlink" Target="http://ivo.garant.ru/document/redirect/71848426/1528" TargetMode="External"/><Relationship Id="rId18" Type="http://schemas.openxmlformats.org/officeDocument/2006/relationships/image" Target="media/image4.emf"/><Relationship Id="rId3" Type="http://schemas.microsoft.com/office/2007/relationships/stylesWithEffects" Target="stylesWithEffect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http://ivo.garant.ru/document/redirect/71848426/1057"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vo.garant.ru/document/redirect/71848426/100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oter" Target="footer1.xml"/><Relationship Id="rId10" Type="http://schemas.openxmlformats.org/officeDocument/2006/relationships/hyperlink" Target="http://ivo.garant.ru/document/redirect/990941/3145"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ivo.garant.ru/document/redirect/71848426/0" TargetMode="External"/><Relationship Id="rId14" Type="http://schemas.openxmlformats.org/officeDocument/2006/relationships/hyperlink" Target="http://ivo.garant.ru/document/redirect/71848426/2800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1964</Words>
  <Characters>11200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Артём</cp:lastModifiedBy>
  <cp:revision>2</cp:revision>
  <dcterms:created xsi:type="dcterms:W3CDTF">2021-09-15T06:55:00Z</dcterms:created>
  <dcterms:modified xsi:type="dcterms:W3CDTF">2021-09-15T06:55:00Z</dcterms:modified>
</cp:coreProperties>
</file>